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6.png" ContentType="image/png"/>
  <Override PartName="/word/media/rId46.png" ContentType="image/png"/>
  <Override PartName="/word/media/rId52.png" ContentType="image/png"/>
  <Override PartName="/word/media/rId69.png" ContentType="image/png"/>
  <Override PartName="/word/media/rId262.png" ContentType="image/png"/>
  <Override PartName="/word/media/rId265.png" ContentType="image/png"/>
  <Override PartName="/word/media/rId63.png" ContentType="image/png"/>
  <Override PartName="/word/media/rId268.png" ContentType="image/png"/>
  <Override PartName="/word/media/rId35.png" ContentType="image/png"/>
  <Override PartName="/word/media/rId49.png" ContentType="image/png"/>
  <Override PartName="/word/media/rId25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2024-05-31</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currently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metaproteomic</w:t>
      </w:r>
      <w:r>
        <w:t xml:space="preserve"> </w:t>
      </w:r>
      <w:r>
        <w:t xml:space="preserve">data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simply by light levels. Short photoperiods governed by latitude, temperate winter, and depth attenuation of light, will exclude Clade HLI (including MED4). In contrast, clade LLII/III (including SS120), and especially clade LLIV (including MIT9313), may actually exploit higher light niches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xx to yy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893c3fdebbb33eb3663e4f355108e3e2adc8329"/>
    <w:p>
      <w:pPr>
        <w:pStyle w:val="Heading2"/>
      </w:pPr>
      <w:r>
        <w:t xml:space="preserve">Detection of</w:t>
      </w:r>
      <w:r>
        <w:t xml:space="preserve"> </w:t>
      </w:r>
      <w:r>
        <w:rPr>
          <w:iCs/>
          <w:i/>
        </w:rPr>
        <w:t xml:space="preserve">Prochlorococcus marinus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8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OPP data set</w:t>
      </w:r>
      <w:r>
        <w:t xml:space="preserve"> </w:t>
      </w:r>
      <w:r>
        <w:t xml:space="preserve">analyzed. We focused our analysis here on core photosynthetic protein</w:t>
      </w:r>
      <w:r>
        <w:t xml:space="preserve"> </w:t>
      </w:r>
      <w:r>
        <w:t xml:space="preserve">complexes, for clades HLI (2 strains), LLI (2 strains), LLII/III (2 strains) and LLIV (2 strains)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at the sampling locations. Photosynthetic complexes</w:t>
      </w:r>
      <w:r>
        <w:t xml:space="preserve"> </w:t>
      </w:r>
      <w:r>
        <w:t xml:space="preserve">from HLI (including strain MED4) and LLI (including strain NATL2A) were detected throughout the water</w:t>
      </w:r>
      <w:r>
        <w:t xml:space="preserve"> </w:t>
      </w:r>
      <w:r>
        <w:t xml:space="preserve">column, predominately under high [O</w:t>
      </w:r>
      <w:r>
        <w:rPr>
          <w:vertAlign w:val="subscript"/>
        </w:rPr>
        <w:t xml:space="preserve">2</w:t>
      </w:r>
      <w:r>
        <w:t xml:space="preserve">]. Though present in the genome of MED4, the absence of proteins annotated as RUBISCO complex for clade HLI, compared to annotated</w:t>
      </w:r>
      <w:r>
        <w:t xml:space="preserve"> </w:t>
      </w:r>
      <w:r>
        <w:t xml:space="preserve">detections of RUBISCO across the other three clades, suggests</w:t>
      </w:r>
      <w:r>
        <w:t xml:space="preserve"> </w:t>
      </w:r>
      <w:r>
        <w:t xml:space="preserve">limitations in the annotation process for highly conserved protein</w:t>
      </w:r>
      <w:r>
        <w:t xml:space="preserve"> </w:t>
      </w:r>
      <w:r>
        <w:t xml:space="preserve">sequences. Notwithstanding limitations on assignments of proteins to clades, detections of the abundant carbon fixation complex RUBISCO derived from HLI, LLI and LLII/III were notably absent from samples taken at lower [O</w:t>
      </w:r>
      <w:r>
        <w:rPr>
          <w:vertAlign w:val="subscript"/>
        </w:rPr>
        <w:t xml:space="preserve">2</w:t>
      </w:r>
      <w:r>
        <w:t xml:space="preserve">], suggesting limited capacity for carbon fixation by HLI, LLI and LLII/III under low [O</w:t>
      </w:r>
      <w:r>
        <w:rPr>
          <w:vertAlign w:val="subscript"/>
        </w:rPr>
        <w:t xml:space="preserve">2</w:t>
      </w:r>
      <w:r>
        <w:t xml:space="preserve">] habitats. Clade LLII/III (including strain SS120)</w:t>
      </w:r>
      <w:r>
        <w:t xml:space="preserve"> </w:t>
      </w:r>
      <w:r>
        <w:t xml:space="preserve">photosynthetic complexes were also detected throughout the depth/light and [O</w:t>
      </w:r>
      <w:r>
        <w:rPr>
          <w:vertAlign w:val="subscript"/>
        </w:rPr>
        <w:t xml:space="preserve">2</w:t>
      </w:r>
      <w:r>
        <w:t xml:space="preserve">] ranges, notably with the most frequent detections of proteins at both high and low [O</w:t>
      </w:r>
      <w:r>
        <w:rPr>
          <w:vertAlign w:val="subscript"/>
        </w:rPr>
        <w:t xml:space="preserve">2</w:t>
      </w:r>
      <w:r>
        <w:t xml:space="preserve">], compared to other strains. Complexes from LLIV (including strain MIT9313) were also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].Our analyses utilized a proteomics dataset; however, alternate approaches, such as metagenomics or metatranscriptomics, could have been employed to analyze ecotype abundances using the TARA Oceans</w:t>
      </w:r>
      <w:r>
        <w:t xml:space="preserve"> </w:t>
      </w:r>
      <w:r>
        <w:t xml:space="preserve">[65]</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rate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rate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t>
      </w:r>
      <w:r>
        <w:t xml:space="preserve">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rate when the photoperiod was 16 h for each 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and 250 µM O</w:t>
      </w:r>
      <w:r>
        <w:rPr>
          <w:vertAlign w:val="subscript"/>
        </w:rPr>
        <w:t xml:space="preserve">2</w:t>
      </w:r>
      <w:r>
        <w:t xml:space="preserve">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[66]</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[60,66–68]</w:t>
      </w:r>
      <w:r>
        <w:t xml:space="preserve">. Repair of photoinactivated PSII</w:t>
      </w:r>
      <w:r>
        <w:t xml:space="preserve"> </w:t>
      </w:r>
      <w:r>
        <w:t xml:space="preserve">relies on the removal of damaged PsbA</w:t>
      </w:r>
      <w:r>
        <w:t xml:space="preserve"> </w:t>
      </w:r>
      <w:r>
        <w:t xml:space="preserve">[69,70]</w:t>
      </w:r>
      <w:r>
        <w:t xml:space="preserve">,</w:t>
      </w:r>
      <w:r>
        <w:t xml:space="preserve"> </w:t>
      </w:r>
      <w:r>
        <w:t xml:space="preserve">followed by reassembly with newly synthesized PsbA</w:t>
      </w:r>
      <w:r>
        <w:t xml:space="preserve"> </w:t>
      </w:r>
      <w:r>
        <w:t xml:space="preserve">[71]</w:t>
      </w:r>
      <w:r>
        <w:t xml:space="preserve">. Degradation of PsbA is a</w:t>
      </w:r>
      <w:r>
        <w:t xml:space="preserve"> </w:t>
      </w:r>
      <w:r>
        <w:t xml:space="preserve">rate-limiting step in recovery from photoinhibition</w:t>
      </w:r>
      <w:r>
        <w:t xml:space="preserve"> </w:t>
      </w:r>
      <w:r>
        <w:t xml:space="preserve">[72]</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[73–75]</w:t>
      </w:r>
      <w:r>
        <w:t xml:space="preserve">.</w:t>
      </w:r>
    </w:p>
    <w:p>
      <w:pPr>
        <w:pStyle w:val="BodyText"/>
      </w:pPr>
      <w:r>
        <w:rPr>
          <w:iCs/>
          <w:i/>
        </w:rPr>
        <w:t xml:space="preserve">Prochlorococcus marinus</w:t>
      </w:r>
      <w:r>
        <w:t xml:space="preserve"> </w:t>
      </w:r>
      <w:r>
        <w:t xml:space="preserve">genomes encode 4 FtsH proteins</w:t>
      </w:r>
      <w:r>
        <w:t xml:space="preserve"> </w:t>
      </w:r>
      <w:r>
        <w:t xml:space="preserve">[69,76]</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[74,76]</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[78]</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7</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7</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7</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rate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rate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[79]</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[80]</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[48]</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[81]</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[82]</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XXXXX To gain insights into the growth rate responses across strains, particularly the responses to different oxygen levels [O</w:t>
      </w:r>
      <w:r>
        <w:rPr>
          <w:vertAlign w:val="subscript"/>
        </w:rPr>
        <w:t xml:space="preserve">2</w:t>
      </w:r>
      <w:r>
        <w:t xml:space="preserve">], we used a subset of the dataset of annotated phytoplankton genomes from Omar</w:t>
      </w:r>
      <w:r>
        <w:t xml:space="preserve"> </w:t>
      </w:r>
      <w:r>
        <w:rPr>
          <w:iCs/>
          <w:i/>
        </w:rPr>
        <w:t xml:space="preserve">et al</w:t>
      </w:r>
      <w:r>
        <w:t xml:space="preserve">.</w:t>
      </w:r>
      <w:r>
        <w:t xml:space="preserve"> </w:t>
      </w:r>
      <w:r>
        <w:t xml:space="preserve">[62]</w:t>
      </w:r>
      <w:r>
        <w:t xml:space="preserve">. We extracted the genes encoding enzymes involved in DNA repair found in at least one</w:t>
      </w:r>
      <w:r>
        <w:t xml:space="preserve"> </w:t>
      </w:r>
      <w:r>
        <w:rPr>
          <w:iCs/>
          <w:i/>
        </w:rPr>
        <w:t xml:space="preserve">P.marinus</w:t>
      </w:r>
      <w:r>
        <w:t xml:space="preserve"> </w:t>
      </w:r>
      <w:r>
        <w:t xml:space="preserve">strain in this study</w:t>
      </w:r>
      <w:r>
        <w:t xml:space="preserve"> </w:t>
      </w:r>
      <w:r>
        <w:rPr>
          <w:iCs/>
          <w:i/>
        </w:rPr>
        <w:t xml:space="preserve">P.marinus</w:t>
      </w:r>
      <w:r>
        <w:t xml:space="preserve"> </w:t>
      </w:r>
      <w:r>
        <w:t xml:space="preserve">strain (Fig</w:t>
      </w:r>
      <w:r>
        <w:t xml:space="preserve"> </w:t>
      </w:r>
      <w:r>
        <w:t xml:space="preserve">9</w:t>
      </w:r>
      <w:r>
        <w:t xml:space="preserve">. XXXX</w:t>
      </w:r>
    </w:p>
    <w:p>
      <w:pPr>
        <w:pStyle w:val="BodyText"/>
      </w:pPr>
      <w:r>
        <w:t xml:space="preserve">As expected,</w:t>
      </w:r>
      <w:r>
        <w:t xml:space="preserve"> </w:t>
      </w:r>
      <w:r>
        <w:rPr>
          <w:iCs/>
          <w:i/>
        </w:rPr>
        <w:t xml:space="preserve">P. marinus</w:t>
      </w:r>
      <w:r>
        <w:t xml:space="preserve"> </w:t>
      </w:r>
      <w:r>
        <w:t xml:space="preserve">NATL2A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9</w:t>
      </w:r>
      <w:r>
        <w:t xml:space="preserve"> </w:t>
      </w:r>
      <w:r>
        <w:t xml:space="preserve">and</w:t>
      </w:r>
      <w:r>
        <w:t xml:space="preserve"> </w:t>
      </w:r>
      <w:r>
        <w:t xml:space="preserve">15</w:t>
      </w:r>
      <w:r>
        <w:t xml:space="preserve">), which, in the presence of blue</w:t>
      </w:r>
      <w:r>
        <w:t xml:space="preserve"> </w:t>
      </w:r>
      <w:r>
        <w:t xml:space="preserve">light, is responsible for repairing DNA damaged by UV light</w:t>
      </w:r>
      <w:r>
        <w:t xml:space="preserve"> </w:t>
      </w:r>
      <w:r>
        <w:t xml:space="preserve">[83]</w:t>
      </w:r>
      <w:r>
        <w:t xml:space="preserve">.</w:t>
      </w:r>
      <w:r>
        <w:t xml:space="preserve"> </w:t>
      </w:r>
      <w:r>
        <w:rPr>
          <w:iCs/>
          <w:i/>
        </w:rPr>
        <w:t xml:space="preserve">Prochlorococcus marinus</w:t>
      </w:r>
      <w:r>
        <w:t xml:space="preserve"> </w:t>
      </w:r>
      <w:r>
        <w:t xml:space="preserve">MED4 was</w:t>
      </w:r>
      <w:r>
        <w:t xml:space="preserve"> </w:t>
      </w:r>
      <w:r>
        <w:t xml:space="preserve">also the only strain to possess a gene encoding DNA repair ligase, which uses</w:t>
      </w:r>
      <w:r>
        <w:t xml:space="preserve"> </w:t>
      </w:r>
      <w:r>
        <w:t xml:space="preserve">ATP as a cofactor for DNA repair. The absence of genes encoding</w:t>
      </w:r>
      <w:r>
        <w:t xml:space="preserve"> </w:t>
      </w:r>
      <w:r>
        <w:t xml:space="preserve">deoxyribodipyrimidine photolyase and DNA repair ligase (ATP) in</w:t>
      </w:r>
      <w:r>
        <w:t xml:space="preserve"> </w:t>
      </w:r>
      <w:r>
        <w:rPr>
          <w:iCs/>
          <w:i/>
        </w:rPr>
        <w:t xml:space="preserve">P. marinus</w:t>
      </w:r>
      <w:r>
        <w:t xml:space="preserve"> </w:t>
      </w:r>
      <w:r>
        <w:t xml:space="preserve">SS120 and MIT9313 may, in part, explain why these two strains cannot tolerate growth under full [O</w:t>
      </w:r>
      <w:r>
        <w:rPr>
          <w:vertAlign w:val="subscript"/>
        </w:rPr>
        <w:t xml:space="preserve">2</w:t>
      </w:r>
      <w:r>
        <w:t xml:space="preserve">] and high light, found at the ocean</w:t>
      </w:r>
      <w:r>
        <w:t xml:space="preserve"> </w:t>
      </w:r>
      <w:r>
        <w:t xml:space="preserve">surface. XXX In this study we show that</w:t>
      </w:r>
      <w:r>
        <w:t xml:space="preserve"> </w:t>
      </w:r>
      <w:r>
        <w:rPr>
          <w:iCs/>
          <w:i/>
        </w:rPr>
        <w:t xml:space="preserve">P. marinus</w:t>
      </w:r>
      <w:r>
        <w:t xml:space="preserve"> </w:t>
      </w:r>
      <w:r>
        <w:t xml:space="preserve">SS120 and MIT9313 can tolerate light levels representative of the near ocean surface when the [O</w:t>
      </w:r>
      <w:r>
        <w:rPr>
          <w:vertAlign w:val="subscript"/>
        </w:rPr>
        <w:t xml:space="preserve">2</w:t>
      </w:r>
      <w:r>
        <w:t xml:space="preserve">] is 25 µM, however our growth rate experiments did not include wavebands in the UV range, we therefore do not know how the absence of deoxyribodipyrimidine photolyase under low [O~2] will impact the growth rates of</w:t>
      </w:r>
      <w:r>
        <w:t xml:space="preserve"> </w:t>
      </w:r>
      <w:r>
        <w:rPr>
          <w:iCs/>
          <w:i/>
        </w:rPr>
        <w:t xml:space="preserve">P. marinus</w:t>
      </w:r>
      <w:r>
        <w:t xml:space="preserve"> </w:t>
      </w:r>
      <w:r>
        <w:t xml:space="preserve">SS120 and MIT9313 when exposed to UV light. XXXXX However,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(ROS)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[84]</w:t>
      </w:r>
      <w:r>
        <w:t xml:space="preserve">. Malmstrom</w:t>
      </w:r>
      <w:r>
        <w:t xml:space="preserve"> </w:t>
      </w:r>
      <w:r>
        <w:rPr>
          <w:iCs/>
          <w:i/>
        </w:rPr>
        <w:t xml:space="preserve">et al</w:t>
      </w:r>
      <w:r>
        <w:t xml:space="preserve">.</w:t>
      </w:r>
      <w:r>
        <w:t xml:space="preserve"> </w:t>
      </w:r>
      <w:r>
        <w:t xml:space="preserve">[84]</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repair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 marinus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[85]</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 (Table</w:t>
      </w:r>
      <w:r>
        <w:t xml:space="preserve"> </w:t>
      </w:r>
      <w:r>
        <w:t xml:space="preserve">??</w:t>
      </w:r>
      <w:r>
        <w:t xml:space="preserve">.</w:t>
      </w:r>
    </w:p>
    <w:p>
      <w:r>
        <w:br w:type="page"/>
      </w:r>
    </w:p>
    <w:p>
      <w:pPr>
        <w:pStyle w:val="CaptionedFigure"/>
      </w:pPr>
      <w:r>
        <w:drawing>
          <wp:inline>
            <wp:extent cx="5943600" cy="3962400"/>
            <wp:effectExtent b="0" l="0" r="0" t="0"/>
            <wp:docPr descr="Fig 10. Figure caption for Potential Temperate Future Niche map goes here."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10.</w:t>
      </w:r>
      <w:r>
        <w:t xml:space="preserve"> </w:t>
      </w:r>
      <w:r>
        <w:t xml:space="preserve">Figure caption for Potential Temperate Future Niche map goes here.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[84]</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[84]</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[79]</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[22]</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[80]</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[86]</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[87–89]</w:t>
      </w:r>
      <w:r>
        <w:t xml:space="preserve"> </w:t>
      </w:r>
      <w:r>
        <w:t xml:space="preserve">and amino acids</w:t>
      </w:r>
      <w:r>
        <w:t xml:space="preserve"> </w:t>
      </w:r>
      <w:r>
        <w:t xml:space="preserve">[90]</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depending upon their different, interacting capacities to tolerate and exploit photoperiods, light levels, and [O</w:t>
      </w:r>
      <w:r>
        <w:rPr>
          <w:vertAlign w:val="subscript"/>
        </w:rPr>
        <w:t xml:space="preserve">2</w:t>
      </w:r>
      <w:r>
        <w:t xml:space="preserve">]. Competition among clades will be driven not simply by light levels. Clade HLI (including MED4) is excluded from short photoperiod regimes, typical of temperate winter, or light attenuated depths. In contrast, clade LLIV (including MIT9313) might actually exploit higher light niches under OMZ conditions, where low O</w:t>
      </w:r>
      <w:r>
        <w:rPr>
          <w:vertAlign w:val="subscript"/>
        </w:rPr>
        <w:t xml:space="preserve">2</w:t>
      </w:r>
      <w:r>
        <w:t xml:space="preserve"> </w:t>
      </w:r>
      <w:r>
        <w:t xml:space="preserve">relieves the stresses of oxidation stress and PSII photoinhibition.</w:t>
      </w:r>
    </w:p>
    <w:p>
      <w:r>
        <w:br w:type="page"/>
      </w:r>
    </w:p>
    <w:bookmarkEnd w:id="74"/>
    <w:bookmarkStart w:id="255" w:name="references"/>
    <w:p>
      <w:pPr>
        <w:pStyle w:val="Heading1"/>
      </w:pPr>
      <w:r>
        <w:t xml:space="preserve">References</w:t>
      </w:r>
    </w:p>
    <w:bookmarkStart w:id="254"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pesantOpenScienceResources2015"/>
    <w:p>
      <w:pPr>
        <w:pStyle w:val="Bibliography"/>
      </w:pPr>
      <w:r>
        <w:t xml:space="preserve">65.</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2">
        <w:r>
          <w:rPr>
            <w:rStyle w:val="Hyperlink"/>
          </w:rPr>
          <w:t xml:space="preserve">10.1038/sdata.2015.23</w:t>
        </w:r>
      </w:hyperlink>
    </w:p>
    <w:bookmarkEnd w:id="203"/>
    <w:bookmarkStart w:id="205" w:name="ref-aroPhotoinhibitionPhotosystemII1993"/>
    <w:p>
      <w:pPr>
        <w:pStyle w:val="Bibliography"/>
      </w:pPr>
      <w:r>
        <w:t xml:space="preserve">66.</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4">
        <w:r>
          <w:rPr>
            <w:rStyle w:val="Hyperlink"/>
          </w:rPr>
          <w:t xml:space="preserve">10.1016/0005-2728(93)90134-2</w:t>
        </w:r>
      </w:hyperlink>
    </w:p>
    <w:bookmarkEnd w:id="205"/>
    <w:bookmarkStart w:id="207" w:name="Xd3d88d412c6c640b605eb77ea2a9e158f43af65"/>
    <w:p>
      <w:pPr>
        <w:pStyle w:val="Bibliography"/>
      </w:pPr>
      <w:r>
        <w:t xml:space="preserve">67.</w:t>
      </w:r>
      <w:r>
        <w:t xml:space="preserve"> </w:t>
      </w:r>
      <w:r>
        <w:t xml:space="preserve">	</w:t>
      </w:r>
      <w:r>
        <w:t xml:space="preserve">Soitamo A, Havurinne V, Tyystjärvi E. Photoinhibition in marine picocyanobacteria. Physiologia Plantarum. 2017;161: 97–108. doi:</w:t>
      </w:r>
      <w:hyperlink r:id="rId206">
        <w:r>
          <w:rPr>
            <w:rStyle w:val="Hyperlink"/>
          </w:rPr>
          <w:t xml:space="preserve">10.1111/ppl.12571</w:t>
        </w:r>
      </w:hyperlink>
    </w:p>
    <w:bookmarkEnd w:id="207"/>
    <w:bookmarkStart w:id="209" w:name="ref-hakalaEvidenceRoleOxygenevolving2005"/>
    <w:p>
      <w:pPr>
        <w:pStyle w:val="Bibliography"/>
      </w:pPr>
      <w:r>
        <w:t xml:space="preserve">68.</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08">
        <w:r>
          <w:rPr>
            <w:rStyle w:val="Hyperlink"/>
          </w:rPr>
          <w:t xml:space="preserve">10.1016/j.bbabio.2004.09.001</w:t>
        </w:r>
      </w:hyperlink>
    </w:p>
    <w:bookmarkEnd w:id="209"/>
    <w:bookmarkStart w:id="211" w:name="ref-mannInvolvementFtsHHomologue2000"/>
    <w:p>
      <w:pPr>
        <w:pStyle w:val="Bibliography"/>
      </w:pPr>
      <w:r>
        <w:t xml:space="preserve">69.</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0">
        <w:r>
          <w:rPr>
            <w:rStyle w:val="Hyperlink"/>
          </w:rPr>
          <w:t xml:space="preserve">10.1016/s0014-5793(00)01871-8</w:t>
        </w:r>
      </w:hyperlink>
    </w:p>
    <w:bookmarkEnd w:id="211"/>
    <w:bookmarkStart w:id="213"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2">
        <w:r>
          <w:rPr>
            <w:rStyle w:val="Hyperlink"/>
          </w:rPr>
          <w:t xml:space="preserve">10.1105/tpc.107.053868</w:t>
        </w:r>
      </w:hyperlink>
    </w:p>
    <w:bookmarkEnd w:id="213"/>
    <w:bookmarkStart w:id="215" w:name="ref-nixonRecentAdvancesUnderstanding2010"/>
    <w:p>
      <w:pPr>
        <w:pStyle w:val="Bibliography"/>
      </w:pPr>
      <w:r>
        <w:t xml:space="preserve">71.</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4">
        <w:r>
          <w:rPr>
            <w:rStyle w:val="Hyperlink"/>
          </w:rPr>
          <w:t xml:space="preserve">10.1093/aob/mcq059</w:t>
        </w:r>
      </w:hyperlink>
    </w:p>
    <w:bookmarkEnd w:id="215"/>
    <w:bookmarkStart w:id="217" w:name="ref-kanervoD1ProteinDegradation1993"/>
    <w:p>
      <w:pPr>
        <w:pStyle w:val="Bibliography"/>
      </w:pPr>
      <w:r>
        <w:t xml:space="preserve">72.</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6">
        <w:r>
          <w:rPr>
            <w:rStyle w:val="Hyperlink"/>
          </w:rPr>
          <w:t xml:space="preserve">10.1016/S0176-1617(11)80900-4</w:t>
        </w:r>
      </w:hyperlink>
    </w:p>
    <w:bookmarkEnd w:id="217"/>
    <w:bookmarkStart w:id="219" w:name="ref-chibaMembraneProteinDegradation2002"/>
    <w:p>
      <w:pPr>
        <w:pStyle w:val="Bibliography"/>
      </w:pPr>
      <w:r>
        <w:t xml:space="preserve">73.</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18">
        <w:r>
          <w:rPr>
            <w:rStyle w:val="Hyperlink"/>
          </w:rPr>
          <w:t xml:space="preserve">10.1128/JB.184.17.4775-4782.2002</w:t>
        </w:r>
      </w:hyperlink>
    </w:p>
    <w:bookmarkEnd w:id="219"/>
    <w:bookmarkStart w:id="221" w:name="X4ccf6fba5c05cec6b30a143631e0da4ed7f96e0"/>
    <w:p>
      <w:pPr>
        <w:pStyle w:val="Bibliography"/>
      </w:pPr>
      <w:r>
        <w:t xml:space="preserve">74.</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0">
        <w:r>
          <w:rPr>
            <w:rStyle w:val="Hyperlink"/>
          </w:rPr>
          <w:t xml:space="preserve">10.1105/tpc.112.100891</w:t>
        </w:r>
      </w:hyperlink>
    </w:p>
    <w:bookmarkEnd w:id="221"/>
    <w:bookmarkStart w:id="223" w:name="ref-sacharzSubCellularLocation2015"/>
    <w:p>
      <w:pPr>
        <w:pStyle w:val="Bibliography"/>
      </w:pPr>
      <w:r>
        <w:t xml:space="preserve">75.</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2">
        <w:r>
          <w:rPr>
            <w:rStyle w:val="Hyperlink"/>
          </w:rPr>
          <w:t xml:space="preserve">10.1111/mmi.12940</w:t>
        </w:r>
      </w:hyperlink>
    </w:p>
    <w:bookmarkEnd w:id="223"/>
    <w:bookmarkStart w:id="225" w:name="ref-adamFtsHProteasesChloroplasts2005"/>
    <w:p>
      <w:pPr>
        <w:pStyle w:val="Bibliography"/>
      </w:pPr>
      <w:r>
        <w:t xml:space="preserve">76.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4">
        <w:r>
          <w:rPr>
            <w:rStyle w:val="Hyperlink"/>
          </w:rPr>
          <w:t xml:space="preserve">10.1111/j.1399-3054.2004.00436.x</w:t>
        </w:r>
      </w:hyperlink>
    </w:p>
    <w:bookmarkEnd w:id="225"/>
    <w:bookmarkStart w:id="227" w:name="ref-krynickaFtsH4ProteaseControls2022"/>
    <w:p>
      <w:pPr>
        <w:pStyle w:val="Bibliography"/>
      </w:pPr>
      <w:r>
        <w:t xml:space="preserve">77.</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6">
        <w:r>
          <w:rPr>
            <w:rStyle w:val="Hyperlink"/>
          </w:rPr>
          <w:t xml:space="preserve">10.1016/j.xplc.2022.100502</w:t>
        </w:r>
      </w:hyperlink>
    </w:p>
    <w:bookmarkEnd w:id="227"/>
    <w:bookmarkStart w:id="229" w:name="ref-konikCyanobacterialFtsH4Protease2024"/>
    <w:p>
      <w:pPr>
        <w:pStyle w:val="Bibliography"/>
      </w:pPr>
      <w:r>
        <w:t xml:space="preserve">78.</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28">
        <w:r>
          <w:rPr>
            <w:rStyle w:val="Hyperlink"/>
          </w:rPr>
          <w:t xml:space="preserve">10.1016/j.bbabio.2023.149017</w:t>
        </w:r>
      </w:hyperlink>
    </w:p>
    <w:bookmarkEnd w:id="229"/>
    <w:bookmarkStart w:id="231" w:name="ref-bergResponsesPsbAHli2011"/>
    <w:p>
      <w:pPr>
        <w:pStyle w:val="Bibliography"/>
      </w:pPr>
      <w:r>
        <w:t xml:space="preserve">79.</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0">
        <w:r>
          <w:rPr>
            <w:rStyle w:val="Hyperlink"/>
          </w:rPr>
          <w:t xml:space="preserve">10.3354/ame01528</w:t>
        </w:r>
      </w:hyperlink>
    </w:p>
    <w:bookmarkEnd w:id="231"/>
    <w:bookmarkStart w:id="233" w:name="ref-cunaneCrystalStructureAnalysis2005"/>
    <w:p>
      <w:pPr>
        <w:pStyle w:val="Bibliography"/>
      </w:pPr>
      <w:r>
        <w:t xml:space="preserve">80.</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2">
        <w:r>
          <w:rPr>
            <w:rStyle w:val="Hyperlink"/>
          </w:rPr>
          <w:t xml:space="preserve">10.1021/bi048616e</w:t>
        </w:r>
      </w:hyperlink>
    </w:p>
    <w:bookmarkEnd w:id="233"/>
    <w:bookmarkStart w:id="235" w:name="Xe0df7677eb0e83af58d9a079cec8291a31d5c04"/>
    <w:p>
      <w:pPr>
        <w:pStyle w:val="Bibliography"/>
      </w:pPr>
      <w:r>
        <w:t xml:space="preserve">81.</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4">
        <w:r>
          <w:rPr>
            <w:rStyle w:val="Hyperlink"/>
          </w:rPr>
          <w:t xml:space="preserve">10.1016/j.febslet.2006.12.028</w:t>
        </w:r>
      </w:hyperlink>
    </w:p>
    <w:bookmarkEnd w:id="235"/>
    <w:bookmarkStart w:id="237" w:name="ref-bilskiVitaminB6Pyridoxine2000"/>
    <w:p>
      <w:pPr>
        <w:pStyle w:val="Bibliography"/>
      </w:pPr>
      <w:r>
        <w:t xml:space="preserve">82.</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6">
        <w:r>
          <w:rPr>
            <w:rStyle w:val="Hyperlink"/>
          </w:rPr>
          <w:t xml:space="preserve">10.1562/0031-8655(2000)0710129SIPVBP2.0.CO2</w:t>
        </w:r>
      </w:hyperlink>
    </w:p>
    <w:bookmarkEnd w:id="237"/>
    <w:bookmarkStart w:id="239" w:name="ref-sancarStructureFunctionDNA2003"/>
    <w:p>
      <w:pPr>
        <w:pStyle w:val="Bibliography"/>
      </w:pPr>
      <w:r>
        <w:t xml:space="preserve">83.</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38">
        <w:r>
          <w:rPr>
            <w:rStyle w:val="Hyperlink"/>
          </w:rPr>
          <w:t xml:space="preserve">10.1021/cr0204348</w:t>
        </w:r>
      </w:hyperlink>
    </w:p>
    <w:bookmarkEnd w:id="239"/>
    <w:bookmarkStart w:id="241" w:name="Xbcf9c99ba8d9f86c9622ce71e03cde3e150c958"/>
    <w:p>
      <w:pPr>
        <w:pStyle w:val="Bibliography"/>
      </w:pPr>
      <w:r>
        <w:t xml:space="preserve">84.</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0">
        <w:r>
          <w:rPr>
            <w:rStyle w:val="Hyperlink"/>
          </w:rPr>
          <w:t xml:space="preserve">10.1038/ismej.2010.60</w:t>
        </w:r>
      </w:hyperlink>
    </w:p>
    <w:bookmarkEnd w:id="241"/>
    <w:bookmarkStart w:id="243" w:name="X99b6b48d829ff4037b291ba9a211586f807c4eb"/>
    <w:p>
      <w:pPr>
        <w:pStyle w:val="Bibliography"/>
      </w:pPr>
      <w:r>
        <w:t xml:space="preserve">85.</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2">
        <w:r>
          <w:rPr>
            <w:rStyle w:val="Hyperlink"/>
          </w:rPr>
          <w:t xml:space="preserve">10.3390/microorganisms10040821</w:t>
        </w:r>
      </w:hyperlink>
    </w:p>
    <w:bookmarkEnd w:id="243"/>
    <w:bookmarkStart w:id="245" w:name="X7a61e8301ea1be8b48319bac4cc8736ca470acf"/>
    <w:p>
      <w:pPr>
        <w:pStyle w:val="Bibliography"/>
      </w:pPr>
      <w:r>
        <w:t xml:space="preserve">86.</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4">
        <w:r>
          <w:rPr>
            <w:rStyle w:val="Hyperlink"/>
          </w:rPr>
          <w:t xml:space="preserve">10.1038/ismej.2015.36</w:t>
        </w:r>
      </w:hyperlink>
    </w:p>
    <w:bookmarkEnd w:id="245"/>
    <w:bookmarkStart w:id="247" w:name="ref-gomez-baenaGlucoseUptakeIts2008"/>
    <w:p>
      <w:pPr>
        <w:pStyle w:val="Bibliography"/>
      </w:pPr>
      <w:r>
        <w:t xml:space="preserve">87.</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6">
        <w:r>
          <w:rPr>
            <w:rStyle w:val="Hyperlink"/>
          </w:rPr>
          <w:t xml:space="preserve">10.1371/journal.pone.0003416</w:t>
        </w:r>
      </w:hyperlink>
    </w:p>
    <w:bookmarkEnd w:id="247"/>
    <w:bookmarkStart w:id="249" w:name="X9572c221e94a3d5fdec6df75457b5a8b9bceb0b"/>
    <w:p>
      <w:pPr>
        <w:pStyle w:val="Bibliography"/>
      </w:pPr>
      <w:r>
        <w:t xml:space="preserve">88.</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48">
        <w:r>
          <w:rPr>
            <w:rStyle w:val="Hyperlink"/>
          </w:rPr>
          <w:t xml:space="preserve">10.3389/fmicb.2017.00327</w:t>
        </w:r>
      </w:hyperlink>
    </w:p>
    <w:bookmarkEnd w:id="249"/>
    <w:bookmarkStart w:id="251" w:name="ref-munoz-marinProchlorococcusCanUse2013"/>
    <w:p>
      <w:pPr>
        <w:pStyle w:val="Bibliography"/>
      </w:pPr>
      <w:r>
        <w:t xml:space="preserve">89.</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0">
        <w:r>
          <w:rPr>
            <w:rStyle w:val="Hyperlink"/>
          </w:rPr>
          <w:t xml:space="preserve">10.1073/pnas.1221775110</w:t>
        </w:r>
      </w:hyperlink>
    </w:p>
    <w:bookmarkEnd w:id="251"/>
    <w:bookmarkStart w:id="253" w:name="ref-zubkovDepthRelatedAmino2004"/>
    <w:p>
      <w:pPr>
        <w:pStyle w:val="Bibliography"/>
      </w:pPr>
      <w:r>
        <w:t xml:space="preserve">90.</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2">
        <w:r>
          <w:rPr>
            <w:rStyle w:val="Hyperlink"/>
          </w:rPr>
          <w:t xml:space="preserve">10.1016/j.femsec.2004.06.009</w:t>
        </w:r>
      </w:hyperlink>
    </w:p>
    <w:bookmarkEnd w:id="253"/>
    <w:bookmarkEnd w:id="254"/>
    <w:p>
      <w:r>
        <w:br w:type="page"/>
      </w:r>
    </w:p>
    <w:bookmarkEnd w:id="255"/>
    <w:bookmarkStart w:id="271"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7" name="Picture"/>
            <a:graphic>
              <a:graphicData uri="http://schemas.openxmlformats.org/drawingml/2006/picture">
                <pic:pic>
                  <pic:nvPicPr>
                    <pic:cNvPr descr="../Output/Figures/LabeledMC.png" id="258" name="Picture"/>
                    <pic:cNvPicPr>
                      <a:picLocks noChangeArrowheads="1" noChangeAspect="1"/>
                    </pic:cNvPicPr>
                  </pic:nvPicPr>
                  <pic:blipFill>
                    <a:blip r:embed="rId256"/>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0" name="Picture"/>
            <a:graphic>
              <a:graphicData uri="http://schemas.openxmlformats.org/drawingml/2006/picture">
                <pic:pic>
                  <pic:nvPicPr>
                    <pic:cNvPr descr="../Output/Figures/deltaODLogGrowthPlot.png" id="261" name="Picture"/>
                    <pic:cNvPicPr>
                      <a:picLocks noChangeArrowheads="1" noChangeAspect="1"/>
                    </pic:cNvPicPr>
                  </pic:nvPicPr>
                  <pic:blipFill>
                    <a:blip r:embed="rId25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3" name="Picture"/>
            <a:graphic>
              <a:graphicData uri="http://schemas.openxmlformats.org/drawingml/2006/picture">
                <pic:pic>
                  <pic:nvPicPr>
                    <pic:cNvPr descr="../Output/Figures/OverlayPlots.png" id="264" name="Picture"/>
                    <pic:cNvPicPr>
                      <a:picLocks noChangeArrowheads="1" noChangeAspect="1"/>
                    </pic:cNvPicPr>
                  </pic:nvPicPr>
                  <pic:blipFill>
                    <a:blip r:embed="rId26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6" name="Picture"/>
            <a:graphic>
              <a:graphicData uri="http://schemas.openxmlformats.org/drawingml/2006/picture">
                <pic:pic>
                  <pic:nvPicPr>
                    <pic:cNvPr descr="../Output/Figures/PhotoperiodPurFitsPlots.png" id="267" name="Picture"/>
                    <pic:cNvPicPr>
                      <a:picLocks noChangeArrowheads="1" noChangeAspect="1"/>
                    </pic:cNvPicPr>
                  </pic:nvPicPr>
                  <pic:blipFill>
                    <a:blip r:embed="rId265"/>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69" name="Picture"/>
            <a:graphic>
              <a:graphicData uri="http://schemas.openxmlformats.org/drawingml/2006/picture">
                <pic:pic>
                  <pic:nvPicPr>
                    <pic:cNvPr descr="../Output/Figures/ProchlorococcusLightEnzymes.png" id="270" name="Picture"/>
                    <pic:cNvPicPr>
                      <a:picLocks noChangeArrowheads="1" noChangeAspect="1"/>
                    </pic:cNvPicPr>
                  </pic:nvPicPr>
                  <pic:blipFill>
                    <a:blip r:embed="rId26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1"/>
    <w:bookmarkStart w:id="273"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72">
        <w:r>
          <w:rPr>
            <w:rStyle w:val="Hyperlink"/>
          </w:rPr>
          <w:t xml:space="preserve">https://github.com/FundyPhytoPhys/prochlorococcus_o2/Code</w:t>
        </w:r>
      </w:hyperlink>
      <w:r>
        <w:t xml:space="preserve">.</w:t>
      </w:r>
    </w:p>
    <w:bookmarkEnd w:id="273"/>
    <w:bookmarkStart w:id="274"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4"/>
    <w:bookmarkStart w:id="275"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5"/>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6" Target="media/rId256.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63" Target="media/rId63.png" /><Relationship Type="http://schemas.openxmlformats.org/officeDocument/2006/relationships/image" Id="rId268" Target="media/rId268.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59" Target="media/rId259.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4"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6"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08" Target="https://doi.org/10.1016/j.bbabio.2004.09.001" TargetMode="External" /><Relationship Type="http://schemas.openxmlformats.org/officeDocument/2006/relationships/hyperlink" Id="rId228" Target="https://doi.org/10.1016/j.bbabio.2023.149017" TargetMode="External" /><Relationship Type="http://schemas.openxmlformats.org/officeDocument/2006/relationships/hyperlink" Id="rId234" Target="https://doi.org/10.1016/j.febslet.2006.12.028" TargetMode="External" /><Relationship Type="http://schemas.openxmlformats.org/officeDocument/2006/relationships/hyperlink" Id="rId252"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6" Target="https://doi.org/10.1016/j.xplc.2022.100502" TargetMode="External" /><Relationship Type="http://schemas.openxmlformats.org/officeDocument/2006/relationships/hyperlink" Id="rId210"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2" Target="https://doi.org/10.1021/bi048616e" TargetMode="External" /><Relationship Type="http://schemas.openxmlformats.org/officeDocument/2006/relationships/hyperlink" Id="rId238"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0" Target="https://doi.org/10.1038/ismej.2010.60" TargetMode="External" /><Relationship Type="http://schemas.openxmlformats.org/officeDocument/2006/relationships/hyperlink" Id="rId244"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2"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0"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4"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2" Target="https://doi.org/10.1105/tpc.107.053868" TargetMode="External" /><Relationship Type="http://schemas.openxmlformats.org/officeDocument/2006/relationships/hyperlink" Id="rId220" Target="https://doi.org/10.1105/tpc.112.100891" TargetMode="External" /><Relationship Type="http://schemas.openxmlformats.org/officeDocument/2006/relationships/hyperlink" Id="rId224"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2" Target="https://doi.org/10.1111/mmi.12940" TargetMode="External" /><Relationship Type="http://schemas.openxmlformats.org/officeDocument/2006/relationships/hyperlink" Id="rId206"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18"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6"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6" Target="https://doi.org/10.1562/0031-8655(2000)0710129SIPVBP2.0.CO2" TargetMode="External" /><Relationship Type="http://schemas.openxmlformats.org/officeDocument/2006/relationships/hyperlink" Id="rId230"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48" Target="https://doi.org/10.3389/fmicb.2017.00327" TargetMode="External" /><Relationship Type="http://schemas.openxmlformats.org/officeDocument/2006/relationships/hyperlink" Id="rId200" Target="https://doi.org/10.3390/life5010716" TargetMode="External" /><Relationship Type="http://schemas.openxmlformats.org/officeDocument/2006/relationships/hyperlink" Id="rId242"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2"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4"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6"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08" Target="https://doi.org/10.1016/j.bbabio.2004.09.001" TargetMode="External" /><Relationship Type="http://schemas.openxmlformats.org/officeDocument/2006/relationships/hyperlink" Id="rId228" Target="https://doi.org/10.1016/j.bbabio.2023.149017" TargetMode="External" /><Relationship Type="http://schemas.openxmlformats.org/officeDocument/2006/relationships/hyperlink" Id="rId234" Target="https://doi.org/10.1016/j.febslet.2006.12.028" TargetMode="External" /><Relationship Type="http://schemas.openxmlformats.org/officeDocument/2006/relationships/hyperlink" Id="rId252"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6" Target="https://doi.org/10.1016/j.xplc.2022.100502" TargetMode="External" /><Relationship Type="http://schemas.openxmlformats.org/officeDocument/2006/relationships/hyperlink" Id="rId210"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2" Target="https://doi.org/10.1021/bi048616e" TargetMode="External" /><Relationship Type="http://schemas.openxmlformats.org/officeDocument/2006/relationships/hyperlink" Id="rId238"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0" Target="https://doi.org/10.1038/ismej.2010.60" TargetMode="External" /><Relationship Type="http://schemas.openxmlformats.org/officeDocument/2006/relationships/hyperlink" Id="rId244"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2"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0"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4"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2" Target="https://doi.org/10.1105/tpc.107.053868" TargetMode="External" /><Relationship Type="http://schemas.openxmlformats.org/officeDocument/2006/relationships/hyperlink" Id="rId220" Target="https://doi.org/10.1105/tpc.112.100891" TargetMode="External" /><Relationship Type="http://schemas.openxmlformats.org/officeDocument/2006/relationships/hyperlink" Id="rId224"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2" Target="https://doi.org/10.1111/mmi.12940" TargetMode="External" /><Relationship Type="http://schemas.openxmlformats.org/officeDocument/2006/relationships/hyperlink" Id="rId206"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18"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6"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6" Target="https://doi.org/10.1562/0031-8655(2000)0710129SIPVBP2.0.CO2" TargetMode="External" /><Relationship Type="http://schemas.openxmlformats.org/officeDocument/2006/relationships/hyperlink" Id="rId230"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48" Target="https://doi.org/10.3389/fmicb.2017.00327" TargetMode="External" /><Relationship Type="http://schemas.openxmlformats.org/officeDocument/2006/relationships/hyperlink" Id="rId200" Target="https://doi.org/10.3390/life5010716" TargetMode="External" /><Relationship Type="http://schemas.openxmlformats.org/officeDocument/2006/relationships/hyperlink" Id="rId242"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2"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2024-05-31T19:59:55Z</dcterms:created>
  <dcterms:modified xsi:type="dcterms:W3CDTF">2024-05-31T19:59:55Z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2024-05-31</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